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表七  废水监测结果</w:t>
      </w:r>
    </w:p>
    <w:tbl>
      <w:tblPr>
        <w:tblStyle w:val="4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6" w:hRule="atLeast"/>
          <w:jc w:val="center"/>
        </w:trPr>
        <w:tc>
          <w:tcPr>
            <w:tcW w:w="9038" w:type="dxa"/>
            <w:vAlign w:val="top"/>
          </w:tcPr>
          <w:p>
            <w:pPr>
              <w:tabs>
                <w:tab w:val="left" w:pos="1410"/>
                <w:tab w:val="left" w:pos="2178"/>
              </w:tabs>
              <w:autoSpaceDE w:val="0"/>
              <w:autoSpaceDN w:val="0"/>
              <w:adjustRightInd w:val="0"/>
              <w:spacing w:before="120" w:beforeLines="50"/>
              <w:ind w:right="-115" w:rightChars="-55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表7                  污水处理站水质处理效果监测  单位：mg/L(pH除外)</w:t>
            </w:r>
          </w:p>
          <w:tbl>
            <w:tblPr>
              <w:tblStyle w:val="4"/>
              <w:tblW w:w="8808" w:type="dxa"/>
              <w:jc w:val="center"/>
              <w:tblInd w:w="1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9"/>
              <w:gridCol w:w="859"/>
              <w:gridCol w:w="883"/>
              <w:gridCol w:w="1074"/>
              <w:gridCol w:w="814"/>
              <w:gridCol w:w="809"/>
              <w:gridCol w:w="800"/>
              <w:gridCol w:w="1523"/>
              <w:gridCol w:w="837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监测日期</w:t>
                  </w:r>
                </w:p>
              </w:tc>
              <w:tc>
                <w:tcPr>
                  <w:tcW w:w="85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监测</w:t>
                  </w:r>
                </w:p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点位</w:t>
                  </w:r>
                </w:p>
              </w:tc>
              <w:tc>
                <w:tcPr>
                  <w:tcW w:w="883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监测</w:t>
                  </w:r>
                </w:p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频次</w:t>
                  </w:r>
                </w:p>
              </w:tc>
              <w:tc>
                <w:tcPr>
                  <w:tcW w:w="5857" w:type="dxa"/>
                  <w:gridSpan w:val="6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监测项目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pH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SS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BOD</w:t>
                  </w:r>
                  <w:r>
                    <w:rPr>
                      <w:b/>
                      <w:color w:val="000000"/>
                      <w:szCs w:val="21"/>
                      <w:vertAlign w:val="subscript"/>
                    </w:rPr>
                    <w:t>5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COD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粪大肠菌群数(MPN/100mL)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动植</w:t>
                  </w:r>
                </w:p>
                <w:p>
                  <w:pPr>
                    <w:spacing w:line="28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物油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</w:rPr>
                    <w:t>201</w:t>
                  </w:r>
                  <w:r>
                    <w:rPr>
                      <w:rFonts w:hint="eastAsia" w:eastAsia="新宋体"/>
                      <w:color w:val="000000"/>
                    </w:rPr>
                    <w:t>6</w:t>
                  </w:r>
                  <w:r>
                    <w:rPr>
                      <w:rFonts w:eastAsia="新宋体"/>
                      <w:color w:val="000000"/>
                    </w:rPr>
                    <w:t>-0</w:t>
                  </w:r>
                  <w:r>
                    <w:rPr>
                      <w:rFonts w:hint="eastAsia" w:eastAsia="新宋体"/>
                      <w:color w:val="000000"/>
                    </w:rPr>
                    <w:t>9</w:t>
                  </w:r>
                  <w:r>
                    <w:rPr>
                      <w:rFonts w:eastAsia="新宋体"/>
                      <w:color w:val="000000"/>
                    </w:rPr>
                    <w:t>-01</w:t>
                  </w:r>
                </w:p>
              </w:tc>
              <w:tc>
                <w:tcPr>
                  <w:tcW w:w="85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处理设施进口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第1次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6.41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314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645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4.9×10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5.05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第2次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6.40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331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662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9.2×10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5.53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第3次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6.51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201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621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1.3×10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5.17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第4次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6.67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502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1.1×10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4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5.26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平均值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6.40~6.67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274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608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4.1</w:t>
                  </w:r>
                  <w:r>
                    <w:rPr>
                      <w:color w:val="000000"/>
                      <w:szCs w:val="21"/>
                    </w:rPr>
                    <w:t>×10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5.25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处理设施出口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第1次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7.96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46.3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239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3.66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第2次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7.84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42.1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213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3.77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第3次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6.97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40.9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218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3.41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第4次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6.84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44.9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241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4.51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平均值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6.84~7.96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43.6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228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3.84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去除效率（%）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---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36.4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84.1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62.5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＞99.9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26.9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标准限值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6~9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5000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达标情况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</w:rPr>
                    <w:t>201</w:t>
                  </w:r>
                  <w:r>
                    <w:rPr>
                      <w:rFonts w:hint="eastAsia" w:eastAsia="新宋体"/>
                      <w:color w:val="000000"/>
                    </w:rPr>
                    <w:t>6</w:t>
                  </w:r>
                  <w:r>
                    <w:rPr>
                      <w:rFonts w:eastAsia="新宋体"/>
                      <w:color w:val="000000"/>
                    </w:rPr>
                    <w:t>-0</w:t>
                  </w:r>
                  <w:r>
                    <w:rPr>
                      <w:rFonts w:hint="eastAsia" w:eastAsia="新宋体"/>
                      <w:color w:val="000000"/>
                    </w:rPr>
                    <w:t>9</w:t>
                  </w:r>
                  <w:r>
                    <w:rPr>
                      <w:rFonts w:eastAsia="新宋体"/>
                      <w:color w:val="000000"/>
                    </w:rPr>
                    <w:t>-0</w:t>
                  </w:r>
                  <w:r>
                    <w:rPr>
                      <w:rFonts w:hint="eastAsia" w:eastAsia="新宋体"/>
                      <w:color w:val="000000"/>
                    </w:rPr>
                    <w:t>2</w:t>
                  </w:r>
                </w:p>
              </w:tc>
              <w:tc>
                <w:tcPr>
                  <w:tcW w:w="85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处理设施进口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第1次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6.53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306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593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3.3</w:t>
                  </w:r>
                  <w:r>
                    <w:rPr>
                      <w:color w:val="000000"/>
                      <w:szCs w:val="21"/>
                      <w:highlight w:val="none"/>
                    </w:rPr>
                    <w:t>×10</w:t>
                  </w:r>
                  <w:r>
                    <w:rPr>
                      <w:color w:val="000000"/>
                      <w:szCs w:val="21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5.32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第2次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6.42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313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579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  <w:highlight w:val="none"/>
                    </w:rPr>
                  </w:pPr>
                  <w:r>
                    <w:rPr>
                      <w:color w:val="000000"/>
                      <w:szCs w:val="21"/>
                      <w:highlight w:val="none"/>
                    </w:rPr>
                    <w:t>4.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3</w:t>
                  </w:r>
                  <w:r>
                    <w:rPr>
                      <w:color w:val="000000"/>
                      <w:szCs w:val="21"/>
                      <w:highlight w:val="none"/>
                    </w:rPr>
                    <w:t>×10</w:t>
                  </w:r>
                  <w:r>
                    <w:rPr>
                      <w:color w:val="000000"/>
                      <w:szCs w:val="21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5.43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第3次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6.45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297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602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2.3</w:t>
                  </w:r>
                  <w:r>
                    <w:rPr>
                      <w:color w:val="000000"/>
                      <w:szCs w:val="21"/>
                      <w:highlight w:val="none"/>
                    </w:rPr>
                    <w:t>×10</w:t>
                  </w:r>
                  <w:r>
                    <w:rPr>
                      <w:color w:val="000000"/>
                      <w:szCs w:val="21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5.29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第4次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6.57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301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585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  <w:highlight w:val="none"/>
                    </w:rPr>
                  </w:pPr>
                  <w:r>
                    <w:rPr>
                      <w:color w:val="000000"/>
                      <w:szCs w:val="21"/>
                      <w:highlight w:val="none"/>
                    </w:rPr>
                    <w:t>4.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9</w:t>
                  </w:r>
                  <w:r>
                    <w:rPr>
                      <w:color w:val="000000"/>
                      <w:szCs w:val="21"/>
                      <w:highlight w:val="none"/>
                    </w:rPr>
                    <w:t>×10</w:t>
                  </w:r>
                  <w:r>
                    <w:rPr>
                      <w:color w:val="000000"/>
                      <w:szCs w:val="21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5.22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平均值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6.42~6.57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33.5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304.3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589.8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3.7</w:t>
                  </w:r>
                  <w:r>
                    <w:rPr>
                      <w:color w:val="000000"/>
                      <w:szCs w:val="21"/>
                    </w:rPr>
                    <w:t>×10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5.32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处理设施出口</w:t>
                  </w: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第1次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6.73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43.3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221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3.51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第2次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6.85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42.5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217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3.37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第3次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6.93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45.3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225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3.35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第4次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7.12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44.1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219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3.43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0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9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平均值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6.73~7.12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22.3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43.8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220.5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＜2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3.42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去除效率（%）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---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33.4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85.6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62.6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＞99.9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35.7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标准限值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6~9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250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5000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达标情况</w:t>
                  </w:r>
                </w:p>
              </w:tc>
              <w:tc>
                <w:tcPr>
                  <w:tcW w:w="107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1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09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0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1523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达标</w:t>
                  </w:r>
                </w:p>
              </w:tc>
            </w:tr>
          </w:tbl>
          <w:p>
            <w:pPr>
              <w:pStyle w:val="5"/>
              <w:ind w:firstLine="480"/>
              <w:rPr>
                <w:color w:val="000000"/>
                <w:w w:val="105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结果表明：本项目污水处理站出口处各项监测指标均可满足《医疗机构水污染物排放标准》（GB18466-2005）预处理标准的排放要求，处理效率达到设计要求。</w:t>
            </w:r>
          </w:p>
          <w:p>
            <w:pPr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1711325</wp:posOffset>
                      </wp:positionV>
                      <wp:extent cx="2995295" cy="263525"/>
                      <wp:effectExtent l="0" t="0" r="0" b="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529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图12  污水处理工艺流程及监测点位示意图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19.05pt;margin-top:134.75pt;height:20.75pt;width:235.85pt;z-index:251665408;mso-width-relative:page;mso-height-relative:page;" filled="f" stroked="f" coordsize="21600,21600" o:gfxdata="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aMOb3twAAAALAQAADwAAAAAAAAABACAAAAAiAAAAZHJzL2Rv&#10;d25yZXYueG1sUEsBAhQAFAAAAAgAh07iQDn9ytGLAQAA/AIAAA4AAAAAAAAAAQAgAAAAKwEAAGRy&#10;cy9lMm9Eb2MueG1sUEsFBgAAAAAGAAYAWQEAACgFAAAAAA=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图12  污水处理工艺流程及监测点位示意图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黑体"/>
                <w:color w:val="000000"/>
                <w:sz w:val="24"/>
              </w:rPr>
              <w:drawing>
                <wp:inline distT="0" distB="0" distL="114300" distR="114300">
                  <wp:extent cx="5589905" cy="1748790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174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85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470DF"/>
    <w:rsid w:val="72C47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文本格式"/>
    <w:basedOn w:val="1"/>
    <w:qFormat/>
    <w:uiPriority w:val="0"/>
    <w:pPr>
      <w:spacing w:line="480" w:lineRule="exact"/>
      <w:ind w:firstLine="520" w:firstLineChars="200"/>
    </w:pPr>
    <w:rPr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2017-07-24T09:19:00Z</dcterms:created>
  <dc:creator>lenovo1</dc:creator>
  <cp:lastModifiedBy>lenovo1</cp:lastModifiedBy>
  <dcterms:modified xsi:type="dcterms:W3CDTF">2017-07-24T09:19:31Z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