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beforeLines="50"/>
        <w:jc w:val="lef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表九  验收监测结论及建议</w:t>
      </w:r>
    </w:p>
    <w:tbl>
      <w:tblPr>
        <w:tblStyle w:val="5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  <w:jc w:val="center"/>
        </w:trPr>
        <w:tc>
          <w:tcPr>
            <w:tcW w:w="9038" w:type="dxa"/>
            <w:vAlign w:val="center"/>
          </w:tcPr>
          <w:p>
            <w:pPr>
              <w:spacing w:before="120" w:beforeLines="50" w:line="60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验收监测结论：</w:t>
            </w:r>
          </w:p>
          <w:p>
            <w:pPr>
              <w:spacing w:line="600" w:lineRule="exact"/>
              <w:ind w:firstLine="600" w:firstLineChars="250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根据太原金域临床检验所建设项目竣工环境保护验收监测结果，结合调查资料，经综合评价，结论如下：</w:t>
            </w:r>
          </w:p>
          <w:p>
            <w:pPr>
              <w:spacing w:line="6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1、本项目“三同时”情况执行良好。环保设施或措施，基本按照“环评”和“环评批复”要求建成。工程各项环保审查、批复等档案资料完整。</w:t>
            </w:r>
          </w:p>
          <w:p>
            <w:pPr>
              <w:spacing w:line="6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2、监测结果</w:t>
            </w:r>
          </w:p>
          <w:p>
            <w:pPr>
              <w:spacing w:line="600" w:lineRule="exact"/>
              <w:ind w:firstLine="600" w:firstLineChars="250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①</w:t>
            </w:r>
            <w:r>
              <w:rPr>
                <w:color w:val="000000"/>
                <w:sz w:val="24"/>
              </w:rPr>
              <w:t>废气监测结果</w:t>
            </w:r>
          </w:p>
          <w:p>
            <w:pPr>
              <w:spacing w:line="600" w:lineRule="exact"/>
              <w:ind w:firstLine="600" w:firstLineChars="2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监测期间，本项目臭气浓度介于17～41之间，满足《恶臭污染物排放标准》（GB14554-93）表2标准限值。</w:t>
            </w:r>
          </w:p>
          <w:p>
            <w:pPr>
              <w:spacing w:line="600" w:lineRule="exact"/>
              <w:ind w:firstLine="600" w:firstLineChars="250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②</w:t>
            </w:r>
            <w:r>
              <w:rPr>
                <w:color w:val="000000"/>
                <w:sz w:val="24"/>
              </w:rPr>
              <w:t>废水监测结果</w:t>
            </w:r>
          </w:p>
          <w:p>
            <w:pPr>
              <w:spacing w:line="600" w:lineRule="exact"/>
              <w:ind w:firstLine="600" w:firstLineChars="2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监测期间：本项目污水处理站出口处各项监测指标均可满足《医疗机构水污染物排放标准》（GB18466-2005）预处理标准的排放要求。</w:t>
            </w:r>
          </w:p>
          <w:p>
            <w:pPr>
              <w:tabs>
                <w:tab w:val="left" w:pos="5921"/>
              </w:tabs>
              <w:spacing w:line="600" w:lineRule="exact"/>
              <w:ind w:firstLine="600" w:firstLineChars="250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③</w:t>
            </w:r>
            <w:r>
              <w:rPr>
                <w:color w:val="000000"/>
                <w:sz w:val="24"/>
              </w:rPr>
              <w:t>噪声监测结果：</w:t>
            </w:r>
            <w:r>
              <w:rPr>
                <w:color w:val="000000"/>
                <w:sz w:val="24"/>
              </w:rPr>
              <w:tab/>
            </w:r>
          </w:p>
          <w:p>
            <w:pPr>
              <w:pStyle w:val="6"/>
              <w:widowControl w:val="0"/>
              <w:spacing w:line="600" w:lineRule="exact"/>
              <w:ind w:firstLine="496"/>
              <w:jc w:val="both"/>
              <w:rPr>
                <w:rFonts w:ascii="Times New Roman" w:eastAsia="宋体"/>
                <w:color w:val="000000"/>
                <w:sz w:val="24"/>
              </w:rPr>
            </w:pPr>
            <w:r>
              <w:rPr>
                <w:rFonts w:ascii="Times New Roman" w:eastAsia="宋体"/>
                <w:color w:val="000000"/>
                <w:sz w:val="24"/>
              </w:rPr>
              <w:t>本项目医学检验用仪器设备噪声较小，污水处理站位于国药大厦负1层，对周边声环境影响较小。</w:t>
            </w:r>
          </w:p>
          <w:p>
            <w:pPr>
              <w:spacing w:line="6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3、生产废水、生活污水处置情况：</w:t>
            </w:r>
          </w:p>
          <w:p>
            <w:pPr>
              <w:pStyle w:val="6"/>
              <w:widowControl w:val="0"/>
              <w:spacing w:line="600" w:lineRule="exact"/>
              <w:ind w:firstLine="496"/>
              <w:jc w:val="both"/>
              <w:rPr>
                <w:rFonts w:ascii="Times New Roman" w:eastAsia="宋体"/>
                <w:color w:val="000000"/>
                <w:sz w:val="24"/>
              </w:rPr>
            </w:pPr>
            <w:r>
              <w:rPr>
                <w:rFonts w:ascii="Times New Roman" w:eastAsia="宋体"/>
                <w:color w:val="000000"/>
                <w:sz w:val="24"/>
              </w:rPr>
              <w:t>项目废水主要为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医学检验废水和办公生活污水</w:t>
            </w:r>
            <w:r>
              <w:rPr>
                <w:rFonts w:ascii="Times New Roman" w:eastAsia="宋体"/>
                <w:color w:val="000000"/>
                <w:sz w:val="24"/>
              </w:rPr>
              <w:t>。</w:t>
            </w:r>
          </w:p>
          <w:p>
            <w:pPr>
              <w:pStyle w:val="6"/>
              <w:widowControl w:val="0"/>
              <w:spacing w:line="600" w:lineRule="exact"/>
              <w:ind w:firstLine="496"/>
              <w:jc w:val="both"/>
              <w:rPr>
                <w:rFonts w:ascii="Times New Roman" w:eastAsia="宋体"/>
                <w:color w:val="000000"/>
                <w:sz w:val="24"/>
              </w:rPr>
            </w:pPr>
            <w:r>
              <w:rPr>
                <w:rFonts w:ascii="Times New Roman" w:eastAsia="宋体"/>
                <w:color w:val="000000"/>
                <w:sz w:val="24"/>
              </w:rPr>
              <w:t>医学检验废水经自建污水处理站处理后进入市政污水管网，根据监测结果，污水处理站出水满足《医疗机构水污染物排放标准》（GB18466-2005）表2中预处理标准。</w:t>
            </w:r>
          </w:p>
          <w:p>
            <w:pPr>
              <w:pStyle w:val="6"/>
              <w:widowControl w:val="0"/>
              <w:spacing w:line="600" w:lineRule="exact"/>
              <w:ind w:firstLine="496"/>
              <w:jc w:val="both"/>
              <w:rPr>
                <w:rFonts w:ascii="Times New Roman" w:eastAsia="宋体"/>
                <w:color w:val="000000"/>
                <w:sz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生活污水排至国药大厦生活污水管道，排至国药大厦化粪池，经化粪池预处理后排至市政污水管网，最终进入太原金世纪阳光水净化有限公司处理</w:t>
            </w:r>
            <w:r>
              <w:rPr>
                <w:rFonts w:ascii="Times New Roman" w:eastAsia="宋体"/>
                <w:color w:val="000000"/>
                <w:sz w:val="24"/>
              </w:rPr>
              <w:t>。</w:t>
            </w:r>
          </w:p>
        </w:tc>
      </w:tr>
    </w:tbl>
    <w:p>
      <w:pPr>
        <w:rPr>
          <w:rFonts w:eastAsia="黑体"/>
          <w:color w:val="000000"/>
          <w:sz w:val="28"/>
        </w:rPr>
        <w:sectPr>
          <w:pgSz w:w="11906" w:h="16838"/>
          <w:pgMar w:top="1440" w:right="1287" w:bottom="1440" w:left="1797" w:header="907" w:footer="1077" w:gutter="0"/>
          <w:cols w:space="720" w:num="1"/>
          <w:docGrid w:linePitch="312" w:charSpace="0"/>
        </w:sectPr>
      </w:pPr>
    </w:p>
    <w:p>
      <w:pPr>
        <w:widowControl/>
        <w:spacing w:before="120" w:beforeLines="50"/>
        <w:jc w:val="lef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续表九   验收监测结论及建议</w:t>
      </w:r>
    </w:p>
    <w:tbl>
      <w:tblPr>
        <w:tblStyle w:val="5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0" w:hRule="atLeast"/>
          <w:jc w:val="center"/>
        </w:trPr>
        <w:tc>
          <w:tcPr>
            <w:tcW w:w="9039" w:type="dxa"/>
            <w:vAlign w:val="center"/>
          </w:tcPr>
          <w:p>
            <w:pPr>
              <w:spacing w:line="6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4、固废产生、处置情况：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本项目产生的固体废物主要有实验室固废、生活垃圾和污水处理站污泥。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验室固废暂存于医疗废物室。各种废物收集容器上按《危险废物贮存污染控制标准》（GB18597-2001）及2013年修改单要求贴上合格的标签，做好标识，一次性医疗器材应经消毒、毁型后由太原市医疗废物管理处收集、处理。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生活垃圾各层设置垃圾桶，委托当地环卫部门每天清运及处置。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污水处理站过滤渣、污水处理站污泥属危险废物，应按危险废物进行处理和处置。建设单位使用</w:t>
            </w:r>
            <w:r>
              <w:rPr>
                <w:rFonts w:hint="eastAsia"/>
                <w:color w:val="000000"/>
                <w:sz w:val="24"/>
              </w:rPr>
              <w:t>石灰</w:t>
            </w:r>
            <w:r>
              <w:rPr>
                <w:color w:val="000000"/>
                <w:sz w:val="24"/>
              </w:rPr>
              <w:t>消毒进行过滤渣、污泥消毒，消毒处理后的污泥由太原市医疗废物管理处收集、处理。</w:t>
            </w:r>
          </w:p>
          <w:p>
            <w:pPr>
              <w:snapToGrid w:val="0"/>
              <w:spacing w:line="6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太原金域临床检验有限公司已与太原市医疗废物管理处签订协议，见附件。</w:t>
            </w:r>
          </w:p>
          <w:p>
            <w:pPr>
              <w:widowControl/>
              <w:spacing w:line="600" w:lineRule="exact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综上所述，</w:t>
            </w:r>
            <w:r>
              <w:rPr>
                <w:b/>
                <w:bCs/>
                <w:color w:val="000000"/>
                <w:sz w:val="24"/>
              </w:rPr>
              <w:t>太原金域临床检验所建设项目</w:t>
            </w:r>
            <w:r>
              <w:rPr>
                <w:b/>
                <w:color w:val="000000"/>
                <w:sz w:val="24"/>
              </w:rPr>
              <w:t>已基本具备了竣工环境保护验收条件,建议组织进行验收。</w:t>
            </w:r>
          </w:p>
          <w:p>
            <w:pPr>
              <w:spacing w:line="600" w:lineRule="exact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建议：</w:t>
            </w:r>
          </w:p>
          <w:p>
            <w:pPr>
              <w:numPr>
                <w:ilvl w:val="0"/>
                <w:numId w:val="1"/>
              </w:numPr>
              <w:spacing w:line="6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进一步加强环保管理，定期进行监督检查，对该项目污染物的排放和环保设施运行情况进行监督、检查，发现问题及时处理，保证环保设施的正常运行；</w:t>
            </w:r>
          </w:p>
          <w:p>
            <w:pPr>
              <w:numPr>
                <w:ilvl w:val="0"/>
                <w:numId w:val="1"/>
              </w:numPr>
              <w:spacing w:line="6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企业环境保护部门要严格执行各项环保制度，保证各项环保制度的执行和各套环保设施的正常运行，保证其完好率和投运率，争取做到长期、稳定运行，污染物达标排放。</w:t>
            </w:r>
          </w:p>
          <w:p>
            <w:pPr>
              <w:numPr>
                <w:ilvl w:val="0"/>
                <w:numId w:val="1"/>
              </w:numPr>
              <w:spacing w:line="6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企业要按规范暂存医疗废物、废液，并做好暂存及转运记录，及时委托有资质的单位处置。</w:t>
            </w:r>
          </w:p>
        </w:tc>
      </w:tr>
    </w:tbl>
    <w:p>
      <w:pPr>
        <w:rPr>
          <w:rFonts w:eastAsia="黑体"/>
          <w:color w:val="000000"/>
          <w:sz w:val="28"/>
        </w:rPr>
        <w:sectPr>
          <w:pgSz w:w="11906" w:h="16838"/>
          <w:pgMar w:top="1440" w:right="1287" w:bottom="1440" w:left="1797" w:header="907" w:footer="1134" w:gutter="0"/>
          <w:cols w:space="720" w:num="1"/>
          <w:docGrid w:linePitch="312" w:charSpace="0"/>
        </w:sectPr>
      </w:pPr>
    </w:p>
    <w:p>
      <w:pPr>
        <w:spacing w:line="400" w:lineRule="exact"/>
        <w:jc w:val="center"/>
        <w:rPr>
          <w:rFonts w:eastAsia="黑体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t>建设项目工程竣工环境保护“三同时”验收登记表</w:t>
      </w:r>
    </w:p>
    <w:p>
      <w:pPr>
        <w:spacing w:line="240" w:lineRule="exact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填表单位（盖章）                                      填表人（签字）：                                      项目经办人（签字）： </w:t>
      </w:r>
    </w:p>
    <w:tbl>
      <w:tblPr>
        <w:tblStyle w:val="5"/>
        <w:tblW w:w="1499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80"/>
        <w:gridCol w:w="114"/>
        <w:gridCol w:w="1195"/>
        <w:gridCol w:w="540"/>
        <w:gridCol w:w="244"/>
        <w:gridCol w:w="588"/>
        <w:gridCol w:w="462"/>
        <w:gridCol w:w="100"/>
        <w:gridCol w:w="196"/>
        <w:gridCol w:w="504"/>
        <w:gridCol w:w="20"/>
        <w:gridCol w:w="180"/>
        <w:gridCol w:w="720"/>
        <w:gridCol w:w="337"/>
        <w:gridCol w:w="203"/>
        <w:gridCol w:w="956"/>
        <w:gridCol w:w="1077"/>
        <w:gridCol w:w="1080"/>
        <w:gridCol w:w="900"/>
        <w:gridCol w:w="956"/>
        <w:gridCol w:w="202"/>
        <w:gridCol w:w="263"/>
        <w:gridCol w:w="380"/>
        <w:gridCol w:w="570"/>
        <w:gridCol w:w="439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restart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建设项目</w:t>
            </w: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4094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太原金域临床检验所建设项目</w:t>
            </w:r>
          </w:p>
        </w:tc>
        <w:tc>
          <w:tcPr>
            <w:tcW w:w="20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建设地点</w:t>
            </w:r>
          </w:p>
        </w:tc>
        <w:tc>
          <w:tcPr>
            <w:tcW w:w="558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太原经济技术开发区龙城街2号国药大厦3~5层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行业类别</w:t>
            </w:r>
          </w:p>
        </w:tc>
        <w:tc>
          <w:tcPr>
            <w:tcW w:w="4094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其他卫生活动Q8390</w:t>
            </w:r>
          </w:p>
        </w:tc>
        <w:tc>
          <w:tcPr>
            <w:tcW w:w="20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建设性质</w:t>
            </w:r>
          </w:p>
        </w:tc>
        <w:tc>
          <w:tcPr>
            <w:tcW w:w="5583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800" w:firstLineChars="100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√新建□改扩建□技术改造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设计生产能力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年检测血液、体液样本约24万例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建设项目</w:t>
            </w:r>
          </w:p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开工日期</w:t>
            </w:r>
          </w:p>
        </w:tc>
        <w:tc>
          <w:tcPr>
            <w:tcW w:w="1460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2016年6月</w:t>
            </w:r>
          </w:p>
        </w:tc>
        <w:tc>
          <w:tcPr>
            <w:tcW w:w="20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实际生产能力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年检测血液、</w:t>
            </w:r>
          </w:p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体液样本24万例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20" w:lineRule="exact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投入试运行日期</w:t>
            </w:r>
          </w:p>
        </w:tc>
        <w:tc>
          <w:tcPr>
            <w:tcW w:w="21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2016年8月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投资总概算（万元）</w:t>
            </w:r>
          </w:p>
        </w:tc>
        <w:tc>
          <w:tcPr>
            <w:tcW w:w="4094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1000</w:t>
            </w:r>
          </w:p>
        </w:tc>
        <w:tc>
          <w:tcPr>
            <w:tcW w:w="20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环保投资总概算（万元）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22.06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所占比例（%）</w:t>
            </w:r>
          </w:p>
        </w:tc>
        <w:tc>
          <w:tcPr>
            <w:tcW w:w="21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环评审批部门</w:t>
            </w:r>
          </w:p>
        </w:tc>
        <w:tc>
          <w:tcPr>
            <w:tcW w:w="4094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太原经济技术开发区环境保护局</w:t>
            </w:r>
          </w:p>
        </w:tc>
        <w:tc>
          <w:tcPr>
            <w:tcW w:w="20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批准文号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并经环评[2016]16号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批准时间</w:t>
            </w:r>
          </w:p>
        </w:tc>
        <w:tc>
          <w:tcPr>
            <w:tcW w:w="21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2016年7月22日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初步设计审批部门</w:t>
            </w:r>
          </w:p>
        </w:tc>
        <w:tc>
          <w:tcPr>
            <w:tcW w:w="4094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0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批准文号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批准时间</w:t>
            </w:r>
          </w:p>
        </w:tc>
        <w:tc>
          <w:tcPr>
            <w:tcW w:w="21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环保验收审批部门</w:t>
            </w:r>
          </w:p>
        </w:tc>
        <w:tc>
          <w:tcPr>
            <w:tcW w:w="4094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太原经济技术开发区环境保护局</w:t>
            </w:r>
          </w:p>
        </w:tc>
        <w:tc>
          <w:tcPr>
            <w:tcW w:w="20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批准文号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批准时间</w:t>
            </w:r>
          </w:p>
        </w:tc>
        <w:tc>
          <w:tcPr>
            <w:tcW w:w="21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环保设施设计单位</w:t>
            </w:r>
          </w:p>
        </w:tc>
        <w:tc>
          <w:tcPr>
            <w:tcW w:w="2130" w:type="dxa"/>
            <w:gridSpan w:val="6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964" w:type="dxa"/>
            <w:gridSpan w:val="6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环保设施施工单位</w:t>
            </w:r>
          </w:p>
        </w:tc>
        <w:tc>
          <w:tcPr>
            <w:tcW w:w="20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环保设施监测单位</w:t>
            </w:r>
          </w:p>
        </w:tc>
        <w:tc>
          <w:tcPr>
            <w:tcW w:w="360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山西华普检测技术有限公司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top"/>
          </w:tcPr>
          <w:p>
            <w:pPr>
              <w:spacing w:line="220" w:lineRule="exact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实际总投资（万元）</w:t>
            </w:r>
          </w:p>
        </w:tc>
        <w:tc>
          <w:tcPr>
            <w:tcW w:w="4094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1000</w:t>
            </w:r>
          </w:p>
        </w:tc>
        <w:tc>
          <w:tcPr>
            <w:tcW w:w="20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right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实际环保投资（万元）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23.2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20" w:lineRule="exact"/>
              <w:jc w:val="right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所占比例（%）</w:t>
            </w:r>
          </w:p>
        </w:tc>
        <w:tc>
          <w:tcPr>
            <w:tcW w:w="24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20" w:lineRule="exact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废水治理（万元）</w:t>
            </w:r>
          </w:p>
        </w:tc>
        <w:tc>
          <w:tcPr>
            <w:tcW w:w="540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11.5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废气治理（万元）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6.5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噪声治理</w:t>
            </w:r>
          </w:p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（万元）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0.2</w:t>
            </w:r>
          </w:p>
        </w:tc>
        <w:tc>
          <w:tcPr>
            <w:tcW w:w="20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固废治理（万元）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5.0</w:t>
            </w:r>
          </w:p>
        </w:tc>
        <w:tc>
          <w:tcPr>
            <w:tcW w:w="900" w:type="dxa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绿化及生态（万元）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0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其它（万元）</w:t>
            </w: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新增废水处理设施能力</w:t>
            </w:r>
          </w:p>
        </w:tc>
        <w:tc>
          <w:tcPr>
            <w:tcW w:w="4094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color w:val="000000"/>
                <w:sz w:val="15"/>
                <w:szCs w:val="15"/>
              </w:rPr>
              <w:t>10</w:t>
            </w:r>
            <w:r>
              <w:rPr>
                <w:b/>
                <w:color w:val="000000"/>
                <w:sz w:val="15"/>
                <w:szCs w:val="15"/>
              </w:rPr>
              <w:t>t/d</w:t>
            </w:r>
          </w:p>
        </w:tc>
        <w:tc>
          <w:tcPr>
            <w:tcW w:w="20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新增废气处理设施能力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Nm</w:t>
            </w:r>
            <w:r>
              <w:rPr>
                <w:b/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b/>
                <w:color w:val="000000"/>
                <w:sz w:val="15"/>
                <w:szCs w:val="15"/>
              </w:rPr>
              <w:t>/h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年平均工作时</w:t>
            </w:r>
          </w:p>
        </w:tc>
        <w:tc>
          <w:tcPr>
            <w:tcW w:w="24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3286" w:type="dxa"/>
            <w:gridSpan w:val="4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建设单位</w:t>
            </w:r>
          </w:p>
        </w:tc>
        <w:tc>
          <w:tcPr>
            <w:tcW w:w="1934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太原金域临床检验</w:t>
            </w:r>
          </w:p>
          <w:p>
            <w:pPr>
              <w:spacing w:line="220" w:lineRule="exact"/>
              <w:jc w:val="center"/>
              <w:rPr>
                <w:rFonts w:eastAsia="楷体_GB2312"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有限公司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邮政编码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eastAsia="楷体_GB2312"/>
                <w:color w:val="000000"/>
                <w:sz w:val="15"/>
                <w:szCs w:val="15"/>
              </w:rPr>
            </w:pPr>
            <w:r>
              <w:rPr>
                <w:rFonts w:eastAsia="楷体_GB2312"/>
                <w:color w:val="000000"/>
                <w:sz w:val="15"/>
                <w:szCs w:val="15"/>
              </w:rPr>
              <w:t>030032</w:t>
            </w:r>
          </w:p>
        </w:tc>
        <w:tc>
          <w:tcPr>
            <w:tcW w:w="20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联系电话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楷体_GB2312"/>
                <w:color w:val="000000"/>
                <w:sz w:val="15"/>
                <w:szCs w:val="15"/>
              </w:rPr>
            </w:pPr>
            <w:r>
              <w:rPr>
                <w:rFonts w:eastAsia="楷体_GB2312"/>
                <w:color w:val="000000"/>
                <w:sz w:val="15"/>
                <w:szCs w:val="15"/>
              </w:rPr>
              <w:t>13994207882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2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环评单位</w:t>
            </w:r>
          </w:p>
        </w:tc>
        <w:tc>
          <w:tcPr>
            <w:tcW w:w="24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楷体_GB2312"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宁夏智诚安环科技发展股份有限公司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pacing w:val="16"/>
                <w:sz w:val="15"/>
                <w:szCs w:val="15"/>
              </w:rPr>
            </w:pPr>
            <w:r>
              <w:rPr>
                <w:rFonts w:eastAsia="黑体"/>
                <w:b/>
                <w:color w:val="000000"/>
                <w:spacing w:val="16"/>
                <w:sz w:val="15"/>
                <w:szCs w:val="15"/>
              </w:rPr>
              <w:t>污染物排放达标与总量控制（工业建设项目详填）</w:t>
            </w:r>
          </w:p>
        </w:tc>
        <w:tc>
          <w:tcPr>
            <w:tcW w:w="2389" w:type="dxa"/>
            <w:gridSpan w:val="3"/>
            <w:vAlign w:val="center"/>
          </w:tcPr>
          <w:p>
            <w:pPr>
              <w:spacing w:line="30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污染物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原有排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放量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(1) 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本期工程实际排放浓度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 (2)</w:t>
            </w:r>
          </w:p>
        </w:tc>
        <w:tc>
          <w:tcPr>
            <w:tcW w:w="100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b/>
                <w:color w:val="000000"/>
                <w:spacing w:val="-6"/>
                <w:sz w:val="15"/>
                <w:szCs w:val="15"/>
              </w:rPr>
            </w:pPr>
            <w:r>
              <w:rPr>
                <w:b/>
                <w:color w:val="000000"/>
                <w:spacing w:val="-6"/>
                <w:sz w:val="15"/>
                <w:szCs w:val="15"/>
              </w:rPr>
              <w:t>本期工程允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pacing w:val="-6"/>
                <w:sz w:val="15"/>
                <w:szCs w:val="15"/>
              </w:rPr>
            </w:pPr>
            <w:r>
              <w:rPr>
                <w:b/>
                <w:color w:val="000000"/>
                <w:spacing w:val="-6"/>
                <w:sz w:val="15"/>
                <w:szCs w:val="15"/>
              </w:rPr>
              <w:t>许排放浓度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pacing w:val="-6"/>
                <w:sz w:val="15"/>
                <w:szCs w:val="15"/>
              </w:rPr>
              <w:t>(3)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本期工程产生量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(4)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本期工程自身削减量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(5)</w:t>
            </w: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本期工程实际排放量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(6)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本期工程核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定排放总量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 (7)</w:t>
            </w:r>
          </w:p>
        </w:tc>
        <w:tc>
          <w:tcPr>
            <w:tcW w:w="900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本期工程“以新带老”削减量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(8)</w:t>
            </w:r>
          </w:p>
        </w:tc>
        <w:tc>
          <w:tcPr>
            <w:tcW w:w="956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全厂实际排放总量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(9)</w:t>
            </w:r>
          </w:p>
        </w:tc>
        <w:tc>
          <w:tcPr>
            <w:tcW w:w="845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全厂核定排放总量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(10)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区域平衡替代削减量</w:t>
            </w:r>
          </w:p>
          <w:p>
            <w:pPr>
              <w:spacing w:line="200" w:lineRule="exact"/>
              <w:ind w:firstLine="75" w:firstLineChars="50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(11)</w:t>
            </w:r>
          </w:p>
        </w:tc>
        <w:tc>
          <w:tcPr>
            <w:tcW w:w="793" w:type="dxa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left="148" w:hanging="148" w:hangingChars="98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排放增减量</w:t>
            </w:r>
          </w:p>
          <w:p>
            <w:pPr>
              <w:spacing w:line="20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(12)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60" w:lineRule="exact"/>
              <w:jc w:val="distribute"/>
              <w:rPr>
                <w:rFonts w:eastAsia="黑体"/>
                <w:b/>
                <w:color w:val="000000"/>
                <w:sz w:val="15"/>
                <w:szCs w:val="15"/>
              </w:rPr>
            </w:pPr>
            <w:r>
              <w:rPr>
                <w:rFonts w:eastAsia="黑体"/>
                <w:b/>
                <w:color w:val="000000"/>
                <w:sz w:val="15"/>
                <w:szCs w:val="15"/>
              </w:rPr>
              <w:t>废水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spacing w:line="260" w:lineRule="exact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化学需氧量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22</w:t>
            </w:r>
            <w:r>
              <w:rPr>
                <w:rFonts w:hint="eastAsia"/>
                <w:b/>
                <w:color w:val="000000"/>
                <w:sz w:val="15"/>
                <w:szCs w:val="15"/>
              </w:rPr>
              <w:t>4.13</w:t>
            </w:r>
          </w:p>
        </w:tc>
        <w:tc>
          <w:tcPr>
            <w:tcW w:w="10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250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氨氮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60" w:lineRule="exact"/>
              <w:jc w:val="distribute"/>
              <w:rPr>
                <w:rFonts w:eastAsia="黑体"/>
                <w:b/>
                <w:color w:val="000000"/>
                <w:sz w:val="15"/>
                <w:szCs w:val="15"/>
              </w:rPr>
            </w:pPr>
            <w:r>
              <w:rPr>
                <w:rFonts w:eastAsia="黑体"/>
                <w:b/>
                <w:color w:val="000000"/>
                <w:sz w:val="15"/>
                <w:szCs w:val="15"/>
              </w:rPr>
              <w:t>废气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二氧化硫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氮氧化物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烟尘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194" w:type="dxa"/>
            <w:gridSpan w:val="2"/>
            <w:vMerge w:val="restart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工业粉尘</w:t>
            </w:r>
          </w:p>
        </w:tc>
        <w:tc>
          <w:tcPr>
            <w:tcW w:w="1195" w:type="dxa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抛丸机</w:t>
            </w:r>
          </w:p>
        </w:tc>
        <w:tc>
          <w:tcPr>
            <w:tcW w:w="784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5"/>
            <w:vMerge w:val="restart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194" w:type="dxa"/>
            <w:gridSpan w:val="2"/>
            <w:vMerge w:val="continue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混砂机</w:t>
            </w:r>
          </w:p>
        </w:tc>
        <w:tc>
          <w:tcPr>
            <w:tcW w:w="784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260" w:lineRule="exact"/>
              <w:jc w:val="distribute"/>
              <w:rPr>
                <w:rFonts w:eastAsia="黑体"/>
                <w:b/>
                <w:color w:val="000000"/>
                <w:sz w:val="15"/>
                <w:szCs w:val="15"/>
              </w:rPr>
            </w:pPr>
            <w:r>
              <w:rPr>
                <w:rFonts w:eastAsia="黑体"/>
                <w:b/>
                <w:color w:val="000000"/>
                <w:sz w:val="15"/>
                <w:szCs w:val="15"/>
              </w:rPr>
              <w:t>工业固体废物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vMerge w:val="restart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与项目有关的其它特征污染物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五日生化需氧量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43.6</w:t>
            </w:r>
            <w:r>
              <w:rPr>
                <w:rFonts w:hint="eastAsia"/>
                <w:b/>
                <w:color w:val="000000"/>
                <w:sz w:val="15"/>
                <w:szCs w:val="15"/>
              </w:rPr>
              <w:t>3</w:t>
            </w:r>
          </w:p>
        </w:tc>
        <w:tc>
          <w:tcPr>
            <w:tcW w:w="10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粪大肠菌群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﹤2</w:t>
            </w:r>
          </w:p>
        </w:tc>
        <w:tc>
          <w:tcPr>
            <w:tcW w:w="10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pacing w:val="-8"/>
                <w:sz w:val="15"/>
                <w:szCs w:val="15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动植物油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3.</w:t>
            </w:r>
            <w:r>
              <w:rPr>
                <w:rFonts w:hint="eastAsia"/>
                <w:b/>
                <w:color w:val="000000"/>
                <w:sz w:val="15"/>
                <w:szCs w:val="15"/>
              </w:rPr>
              <w:t>63</w:t>
            </w:r>
          </w:p>
        </w:tc>
        <w:tc>
          <w:tcPr>
            <w:tcW w:w="10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20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pacing w:val="-8"/>
                <w:sz w:val="15"/>
                <w:szCs w:val="15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260" w:lineRule="exact"/>
              <w:jc w:val="distribute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悬浮物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21</w:t>
            </w:r>
            <w:r>
              <w:rPr>
                <w:rFonts w:hint="eastAsia"/>
                <w:b/>
                <w:color w:val="000000"/>
                <w:sz w:val="15"/>
                <w:szCs w:val="15"/>
              </w:rPr>
              <w:t>.75</w:t>
            </w:r>
          </w:p>
        </w:tc>
        <w:tc>
          <w:tcPr>
            <w:tcW w:w="100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60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  <w:spacing w:val="-8"/>
                <w:sz w:val="15"/>
                <w:szCs w:val="15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</w:tr>
    </w:tbl>
    <w:p>
      <w:pPr>
        <w:spacing w:line="180" w:lineRule="exact"/>
        <w:jc w:val="left"/>
        <w:rPr>
          <w:color w:val="000000"/>
          <w:sz w:val="15"/>
          <w:szCs w:val="15"/>
        </w:rPr>
      </w:pPr>
      <w:r>
        <w:rPr>
          <w:b/>
          <w:color w:val="000000"/>
          <w:sz w:val="15"/>
          <w:szCs w:val="15"/>
        </w:rPr>
        <w:t>注</w:t>
      </w:r>
      <w:r>
        <w:rPr>
          <w:color w:val="000000"/>
          <w:sz w:val="15"/>
          <w:szCs w:val="15"/>
        </w:rPr>
        <w:t>：1、排放增减量：（+）表示增加，（-）表示减少；2、(12)=(6)-(8)-(11)，（9）= (4)-(5)-(8)- (11) +（1）</w:t>
      </w:r>
    </w:p>
    <w:p>
      <w:pPr>
        <w:spacing w:line="180" w:lineRule="exact"/>
        <w:ind w:firstLine="300" w:firstLineChars="20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3、计量单位：废水排放量——万吨/年；废气排放量——万标立方米/年；工业固体废物排放量——万吨/年；水污染物排放浓度——毫克/升；</w:t>
      </w:r>
    </w:p>
    <w:p>
      <w:pPr>
        <w:spacing w:line="180" w:lineRule="exact"/>
        <w:ind w:firstLine="600" w:firstLineChars="400"/>
        <w:rPr>
          <w:color w:val="000000"/>
          <w:sz w:val="15"/>
          <w:szCs w:val="15"/>
        </w:rPr>
        <w:sectPr>
          <w:headerReference r:id="rId3" w:type="default"/>
          <w:footerReference r:id="rId4" w:type="default"/>
          <w:pgSz w:w="16838" w:h="11906" w:orient="landscape"/>
          <w:pgMar w:top="1134" w:right="1440" w:bottom="1344" w:left="1304" w:header="851" w:footer="992" w:gutter="0"/>
          <w:cols w:space="720" w:num="1"/>
          <w:docGrid w:linePitch="312" w:charSpace="0"/>
        </w:sectPr>
      </w:pPr>
      <w:r>
        <w:rPr>
          <w:color w:val="000000"/>
          <w:sz w:val="15"/>
          <w:szCs w:val="15"/>
        </w:rPr>
        <w:t>大气污染物排放浓度——毫克/立方米；水污染物排放量——吨/年；大气污染物排放量——吨/年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</w:rPr>
      <w:t xml:space="preserve"> </w:t>
    </w:r>
    <w:r>
      <w:t xml:space="preserve">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783A7"/>
    <w:multiLevelType w:val="singleLevel"/>
    <w:tmpl w:val="576783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94A49"/>
    <w:rsid w:val="6D294A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6">
    <w:name w:val="a正文排版格式"/>
    <w:uiPriority w:val="0"/>
    <w:pPr>
      <w:tabs>
        <w:tab w:val="left" w:pos="2520"/>
      </w:tabs>
      <w:spacing w:line="360" w:lineRule="auto"/>
      <w:ind w:firstLine="576" w:firstLineChars="200"/>
    </w:pPr>
    <w:rPr>
      <w:rFonts w:ascii="仿宋_GB2312" w:eastAsia="仿宋_GB2312"/>
      <w:spacing w:val="4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2017-07-24T09:20:00Z</dcterms:created>
  <dc:creator>lenovo1</dc:creator>
  <cp:lastModifiedBy>lenovo1</cp:lastModifiedBy>
  <dcterms:modified xsi:type="dcterms:W3CDTF">2017-07-24T09:21:07Z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